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9B3" w:rsidRPr="0016544F" w:rsidRDefault="00FA39B3" w:rsidP="00FA39B3">
      <w:pPr>
        <w:rPr>
          <w:lang w:eastAsia="es-AR"/>
        </w:rPr>
      </w:pPr>
    </w:p>
    <w:p w:rsidR="00FA39B3" w:rsidRPr="0016544F" w:rsidRDefault="00FA39B3" w:rsidP="00FA39B3">
      <w:pPr>
        <w:rPr>
          <w:lang w:eastAsia="es-AR"/>
        </w:rPr>
      </w:pPr>
    </w:p>
    <w:p w:rsidR="00FA39B3" w:rsidRPr="0016544F" w:rsidRDefault="00FA39B3" w:rsidP="00FA39B3">
      <w:pPr>
        <w:rPr>
          <w:lang w:eastAsia="es-AR"/>
        </w:rPr>
      </w:pPr>
    </w:p>
    <w:p w:rsidR="00FA39B3" w:rsidRPr="0016544F" w:rsidRDefault="00FA39B3" w:rsidP="00FA39B3">
      <w:pPr>
        <w:rPr>
          <w:lang w:eastAsia="es-AR"/>
        </w:rPr>
      </w:pPr>
      <w:r>
        <w:rPr>
          <w:noProof/>
          <w:lang w:val="es-AR" w:eastAsia="es-AR"/>
        </w:rPr>
        <w:pict>
          <v:roundrect id="_x0000_s1050" style="position:absolute;margin-left:21.55pt;margin-top:-30.25pt;width:468pt;height:136.9pt;z-index:251658240" arcsize="10923f">
            <v:textbox style="mso-next-textbox:#_x0000_s1050">
              <w:txbxContent>
                <w:p w:rsidR="00FA39B3" w:rsidRDefault="00FA39B3" w:rsidP="00FA39B3">
                  <w:pPr>
                    <w:jc w:val="center"/>
                    <w:rPr>
                      <w:rFonts w:ascii="Calibri" w:hAnsi="Calibri"/>
                      <w:b/>
                    </w:rPr>
                  </w:pPr>
                  <w:r>
                    <w:rPr>
                      <w:rFonts w:ascii="Calibri" w:hAnsi="Calibri"/>
                      <w:b/>
                    </w:rPr>
                    <w:t>PLANILLA 2 - DD.JJ. DE INHABILIDADES E INCOMPATIBILIDADES</w:t>
                  </w:r>
                </w:p>
                <w:p w:rsidR="00FA39B3" w:rsidRDefault="00FA39B3" w:rsidP="00FA39B3">
                  <w:pPr>
                    <w:jc w:val="center"/>
                    <w:rPr>
                      <w:rFonts w:ascii="Calibri" w:hAnsi="Calibri"/>
                      <w:b/>
                      <w:sz w:val="16"/>
                    </w:rPr>
                  </w:pPr>
                </w:p>
                <w:p w:rsidR="00FA39B3" w:rsidRDefault="00FA39B3" w:rsidP="00FA39B3">
                  <w:pPr>
                    <w:jc w:val="center"/>
                    <w:rPr>
                      <w:rFonts w:ascii="Calibri" w:hAnsi="Calibri"/>
                      <w:sz w:val="28"/>
                    </w:rPr>
                  </w:pPr>
                  <w:r>
                    <w:rPr>
                      <w:rFonts w:ascii="Calibri" w:hAnsi="Calibri"/>
                      <w:sz w:val="28"/>
                    </w:rPr>
                    <w:t>A LOS FINES DE LA OBTENCION DE LA PRÓRROGA DE  LICENCIA EN LOS TÉRMINOS DEL ARTICULO 20 DEL DECRETO Nº 267/15, DECLARO BAJO JURAMENTO, POSEER LAS CONDICIONES ESTABLECIDAS EN EL ARTICULO  24, inciso h); 25, inciso b) Y 26 DE LA LEY Nº 26.522</w:t>
                  </w:r>
                </w:p>
              </w:txbxContent>
            </v:textbox>
          </v:roundrect>
        </w:pict>
      </w:r>
    </w:p>
    <w:p w:rsidR="00FA39B3" w:rsidRPr="0016544F" w:rsidRDefault="00FA39B3" w:rsidP="00FA39B3">
      <w:pPr>
        <w:rPr>
          <w:lang w:eastAsia="es-AR"/>
        </w:rPr>
      </w:pPr>
    </w:p>
    <w:p w:rsidR="00FA39B3" w:rsidRPr="0016544F" w:rsidRDefault="00FA39B3" w:rsidP="00FA39B3">
      <w:pPr>
        <w:rPr>
          <w:lang w:eastAsia="es-AR"/>
        </w:rPr>
      </w:pPr>
    </w:p>
    <w:p w:rsidR="00FA39B3" w:rsidRPr="0016544F" w:rsidRDefault="00FA39B3" w:rsidP="00FA39B3">
      <w:pPr>
        <w:rPr>
          <w:lang w:eastAsia="es-AR"/>
        </w:rPr>
      </w:pPr>
    </w:p>
    <w:p w:rsidR="00FA39B3" w:rsidRPr="0016544F" w:rsidRDefault="00FA39B3" w:rsidP="00FA39B3">
      <w:pPr>
        <w:rPr>
          <w:lang w:eastAsia="es-AR"/>
        </w:rPr>
      </w:pPr>
    </w:p>
    <w:p w:rsidR="00FA39B3" w:rsidRPr="0016544F" w:rsidRDefault="00FA39B3" w:rsidP="00FA39B3">
      <w:pPr>
        <w:rPr>
          <w:lang w:eastAsia="es-AR"/>
        </w:rPr>
      </w:pPr>
    </w:p>
    <w:p w:rsidR="00FA39B3" w:rsidRDefault="00FA39B3" w:rsidP="00FA39B3">
      <w:pPr>
        <w:rPr>
          <w:lang w:eastAsia="es-AR"/>
        </w:rPr>
      </w:pPr>
    </w:p>
    <w:p w:rsidR="00FA39B3" w:rsidRDefault="00FA39B3" w:rsidP="00FA39B3">
      <w:pPr>
        <w:rPr>
          <w:lang w:eastAsia="es-AR"/>
        </w:rPr>
      </w:pPr>
    </w:p>
    <w:p w:rsidR="00FA39B3" w:rsidRPr="0016544F" w:rsidRDefault="00FA39B3" w:rsidP="00FA39B3">
      <w:pPr>
        <w:rPr>
          <w:lang w:eastAsia="es-AR"/>
        </w:rPr>
      </w:pPr>
    </w:p>
    <w:tbl>
      <w:tblPr>
        <w:tblpPr w:leftFromText="141" w:rightFromText="141" w:vertAnchor="text" w:horzAnchor="margin" w:tblpXSpec="right" w:tblpY="84"/>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770"/>
        <w:gridCol w:w="4514"/>
      </w:tblGrid>
      <w:tr w:rsidR="00FA39B3" w:rsidTr="00B76118">
        <w:tblPrEx>
          <w:tblCellMar>
            <w:top w:w="0" w:type="dxa"/>
            <w:bottom w:w="0" w:type="dxa"/>
          </w:tblCellMar>
        </w:tblPrEx>
        <w:trPr>
          <w:cantSplit/>
          <w:trHeight w:val="539"/>
        </w:trPr>
        <w:tc>
          <w:tcPr>
            <w:tcW w:w="4770" w:type="dxa"/>
          </w:tcPr>
          <w:p w:rsidR="00FA39B3" w:rsidRDefault="00FA39B3" w:rsidP="00B76118"/>
          <w:p w:rsidR="00FA39B3" w:rsidRDefault="00FA39B3" w:rsidP="00B76118"/>
        </w:tc>
        <w:tc>
          <w:tcPr>
            <w:tcW w:w="4514" w:type="dxa"/>
          </w:tcPr>
          <w:p w:rsidR="00FA39B3" w:rsidRDefault="00FA39B3" w:rsidP="00B76118"/>
        </w:tc>
      </w:tr>
      <w:tr w:rsidR="00FA39B3" w:rsidTr="00B76118">
        <w:tblPrEx>
          <w:tblCellMar>
            <w:top w:w="0" w:type="dxa"/>
            <w:bottom w:w="0" w:type="dxa"/>
          </w:tblCellMar>
        </w:tblPrEx>
        <w:trPr>
          <w:cantSplit/>
        </w:trPr>
        <w:tc>
          <w:tcPr>
            <w:tcW w:w="4770" w:type="dxa"/>
          </w:tcPr>
          <w:p w:rsidR="00FA39B3" w:rsidRDefault="00FA39B3" w:rsidP="00B76118">
            <w:pPr>
              <w:spacing w:before="120" w:after="120"/>
              <w:jc w:val="center"/>
              <w:rPr>
                <w:rFonts w:ascii="Antique Olive Roman" w:hAnsi="Antique Olive Roman"/>
                <w:color w:val="000000"/>
                <w:sz w:val="16"/>
                <w:szCs w:val="18"/>
              </w:rPr>
            </w:pPr>
            <w:r>
              <w:rPr>
                <w:rFonts w:ascii="Antique Olive Roman" w:hAnsi="Antique Olive Roman"/>
                <w:color w:val="000000"/>
                <w:sz w:val="16"/>
                <w:szCs w:val="18"/>
              </w:rPr>
              <w:t>Firma de la persona física que declara</w:t>
            </w:r>
          </w:p>
        </w:tc>
        <w:tc>
          <w:tcPr>
            <w:tcW w:w="4514" w:type="dxa"/>
          </w:tcPr>
          <w:p w:rsidR="00FA39B3" w:rsidRDefault="00FA39B3" w:rsidP="00B76118">
            <w:pPr>
              <w:spacing w:before="120" w:after="120"/>
              <w:jc w:val="center"/>
              <w:rPr>
                <w:rFonts w:ascii="Antique Olive Roman" w:hAnsi="Antique Olive Roman"/>
                <w:color w:val="000000"/>
                <w:sz w:val="16"/>
                <w:szCs w:val="18"/>
              </w:rPr>
            </w:pPr>
            <w:r>
              <w:rPr>
                <w:rFonts w:ascii="Antique Olive Roman" w:hAnsi="Antique Olive Roman"/>
                <w:color w:val="000000"/>
                <w:sz w:val="16"/>
                <w:szCs w:val="18"/>
              </w:rPr>
              <w:t xml:space="preserve">Aclaración </w:t>
            </w:r>
          </w:p>
          <w:p w:rsidR="00FA39B3" w:rsidRDefault="00FA39B3" w:rsidP="00B76118">
            <w:pPr>
              <w:spacing w:before="120" w:after="120"/>
              <w:jc w:val="center"/>
              <w:rPr>
                <w:rFonts w:ascii="Antique Olive Roman" w:hAnsi="Antique Olive Roman"/>
                <w:color w:val="000000"/>
                <w:sz w:val="16"/>
                <w:szCs w:val="18"/>
              </w:rPr>
            </w:pPr>
            <w:r>
              <w:rPr>
                <w:rFonts w:ascii="Antique Olive Roman" w:hAnsi="Antique Olive Roman"/>
                <w:color w:val="000000"/>
                <w:sz w:val="16"/>
                <w:szCs w:val="18"/>
              </w:rPr>
              <w:t>(Apellido y nombre)</w:t>
            </w:r>
          </w:p>
        </w:tc>
      </w:tr>
    </w:tbl>
    <w:p w:rsidR="00FA39B3" w:rsidRPr="0016544F" w:rsidRDefault="00FA39B3" w:rsidP="00FA39B3">
      <w:pPr>
        <w:rPr>
          <w:lang w:eastAsia="es-AR"/>
        </w:rPr>
      </w:pPr>
    </w:p>
    <w:p w:rsidR="00FA39B3" w:rsidRDefault="00FA39B3" w:rsidP="00FA39B3">
      <w:pPr>
        <w:pStyle w:val="NormalWeb"/>
        <w:spacing w:before="0" w:beforeAutospacing="0" w:after="0" w:afterAutospacing="0"/>
        <w:jc w:val="both"/>
        <w:rPr>
          <w:rFonts w:ascii="Antique Olive Roman" w:hAnsi="Antique Olive Roman"/>
          <w:i/>
          <w:iCs/>
          <w:sz w:val="14"/>
        </w:rPr>
      </w:pPr>
      <w:r>
        <w:rPr>
          <w:rFonts w:ascii="Antique Olive Roman" w:hAnsi="Antique Olive Roman"/>
          <w:i/>
          <w:iCs/>
          <w:sz w:val="14"/>
        </w:rPr>
        <w:t>(*)ARTICULO 24. — Condiciones de admisibilidad — Personas físicas. Las personas de existencia visible, como titulares de licencias de radiodifusión, las personas de existencia visible en cuanto socios de las personas de existencia ideal con fines de lucro, deberán reunir al momento de su presentación al proceso de adjudicación de la licencia y mantener durante su vigencia, las siguientes condiciones:</w:t>
      </w:r>
    </w:p>
    <w:p w:rsidR="00FA39B3" w:rsidRDefault="00FA39B3" w:rsidP="00FA39B3">
      <w:pPr>
        <w:pStyle w:val="NormalWeb"/>
        <w:spacing w:before="0" w:beforeAutospacing="0" w:after="0" w:afterAutospacing="0"/>
        <w:jc w:val="both"/>
        <w:rPr>
          <w:rFonts w:ascii="Antique Olive Roman" w:hAnsi="Antique Olive Roman"/>
          <w:i/>
          <w:iCs/>
          <w:sz w:val="14"/>
        </w:rPr>
      </w:pPr>
      <w:r>
        <w:rPr>
          <w:rFonts w:ascii="Antique Olive Roman" w:hAnsi="Antique Olive Roman"/>
          <w:i/>
          <w:iCs/>
          <w:sz w:val="14"/>
        </w:rPr>
        <w:t>h) No ser magistrado judicial, legislador, funcionario público ni militar o personal de seguridad en actividad. Esta condición no será exigible cuando se trate de meros integrantes de una persona de existencia ideal sin fines de lucro;</w:t>
      </w:r>
    </w:p>
    <w:p w:rsidR="00FA39B3" w:rsidRDefault="00FA39B3" w:rsidP="00FA39B3">
      <w:pPr>
        <w:pStyle w:val="NormalWeb"/>
        <w:spacing w:before="0" w:beforeAutospacing="0" w:after="0" w:afterAutospacing="0"/>
        <w:jc w:val="both"/>
        <w:rPr>
          <w:rFonts w:ascii="Antique Olive Roman" w:hAnsi="Antique Olive Roman"/>
          <w:i/>
          <w:iCs/>
          <w:sz w:val="14"/>
        </w:rPr>
      </w:pPr>
      <w:r>
        <w:rPr>
          <w:rFonts w:ascii="Antique Olive Roman" w:hAnsi="Antique Olive Roman"/>
          <w:i/>
          <w:iCs/>
          <w:sz w:val="14"/>
        </w:rPr>
        <w:t>ARTICULO 25. — Condiciones de admisibilidad — Personas de existencia ideal. Las personas de existencia ideal como titulares de licencias de servicios de comunicación audiovisual y como socias de personas de existencia ideal titulares de servicios de comunicación audiovisual deberán reunir al momento de su presentación al proceso de adjudicación de la licencia y mantener durante su vigencia, las siguientes condiciones:</w:t>
      </w:r>
    </w:p>
    <w:p w:rsidR="00FA39B3" w:rsidRDefault="00FA39B3" w:rsidP="00FA39B3">
      <w:pPr>
        <w:pStyle w:val="NormalWeb"/>
        <w:spacing w:before="0" w:beforeAutospacing="0" w:after="0" w:afterAutospacing="0"/>
        <w:jc w:val="both"/>
        <w:rPr>
          <w:rFonts w:ascii="Antique Olive Roman" w:hAnsi="Antique Olive Roman"/>
          <w:i/>
          <w:iCs/>
          <w:sz w:val="14"/>
        </w:rPr>
      </w:pPr>
      <w:r>
        <w:rPr>
          <w:rFonts w:ascii="Antique Olive Roman" w:hAnsi="Antique Olive Roman"/>
          <w:i/>
          <w:iCs/>
          <w:sz w:val="14"/>
        </w:rPr>
        <w:t>b) No tener vinculación jurídica societaria ni sujeción directa o indirecta con empresas de servicios de comunicación audiovisual extranjeras.</w:t>
      </w:r>
    </w:p>
    <w:p w:rsidR="00FA39B3" w:rsidRDefault="00FA39B3" w:rsidP="00FA39B3">
      <w:pPr>
        <w:pStyle w:val="NormalWeb"/>
        <w:spacing w:before="0" w:beforeAutospacing="0" w:after="0" w:afterAutospacing="0"/>
        <w:jc w:val="both"/>
        <w:rPr>
          <w:rFonts w:ascii="Antique Olive Roman" w:hAnsi="Antique Olive Roman"/>
          <w:i/>
          <w:iCs/>
          <w:sz w:val="14"/>
        </w:rPr>
      </w:pPr>
      <w:r>
        <w:rPr>
          <w:rFonts w:ascii="Antique Olive Roman" w:hAnsi="Antique Olive Roman"/>
          <w:i/>
          <w:iCs/>
          <w:sz w:val="14"/>
        </w:rPr>
        <w:t>En el caso de las personas de existencia ideal sin fines de lucro, sus directivos y consejeros no deberán tener vinculación directa o indirecta con empresas de servicios de comunicación audiovisual y de telecomunicaciones, nacionales o extranjeras del sector privado comercial. Para el cumplimiento de este requisito deberá acreditarse que el origen de los fondos de la persona de existencia ideal sin fines de lucro no se encuentra vinculado directa o indirectamente a empresas de servicios de comunicación audiovisual y de telecomunicaciones, nacionales o extranjeras del sector privado comercial.</w:t>
      </w:r>
    </w:p>
    <w:p w:rsidR="00FA39B3" w:rsidRPr="0016544F" w:rsidRDefault="00FA39B3" w:rsidP="00FA39B3">
      <w:pPr>
        <w:rPr>
          <w:lang w:eastAsia="es-AR"/>
        </w:rPr>
      </w:pPr>
    </w:p>
    <w:p w:rsidR="00FA39B3" w:rsidRDefault="00FA39B3" w:rsidP="00FA39B3">
      <w:pPr>
        <w:rPr>
          <w:lang w:eastAsia="es-AR"/>
        </w:rPr>
      </w:pPr>
    </w:p>
    <w:p w:rsidR="003437F8" w:rsidRPr="00FA39B3" w:rsidRDefault="005B7FBE" w:rsidP="00FA39B3"/>
    <w:sectPr w:rsidR="003437F8" w:rsidRPr="00FA39B3" w:rsidSect="00F36B9B">
      <w:headerReference w:type="default" r:id="rId7"/>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7FBE" w:rsidRDefault="005B7FBE" w:rsidP="0059466E">
      <w:r>
        <w:separator/>
      </w:r>
    </w:p>
  </w:endnote>
  <w:endnote w:type="continuationSeparator" w:id="1">
    <w:p w:rsidR="005B7FBE" w:rsidRDefault="005B7FBE" w:rsidP="0059466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EnglischeSchTDemBol">
    <w:altName w:val="Arabic Typesetting"/>
    <w:charset w:val="00"/>
    <w:family w:val="script"/>
    <w:pitch w:val="variable"/>
    <w:sig w:usb0="00000001" w:usb1="00000000" w:usb2="00000000" w:usb3="00000000" w:csb0="0000001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ntique Olive Roman">
    <w:panose1 w:val="00000000000000000000"/>
    <w:charset w:val="00"/>
    <w:family w:val="swiss"/>
    <w:notTrueType/>
    <w:pitch w:val="variable"/>
    <w:sig w:usb0="00000003" w:usb1="00000000" w:usb2="00000000" w:usb3="00000000" w:csb0="00000001" w:csb1="00000000"/>
  </w:font>
  <w:font w:name="EnglischeSchT">
    <w:altName w:val="Arabic Typesetting"/>
    <w:charset w:val="00"/>
    <w:family w:val="script"/>
    <w:pitch w:val="variable"/>
    <w:sig w:usb0="00000001" w:usb1="00000000" w:usb2="00000000" w:usb3="00000000" w:csb0="00000013" w:csb1="00000000"/>
  </w:font>
  <w:font w:name="Arial">
    <w:panose1 w:val="020B0604020202020204"/>
    <w:charset w:val="00"/>
    <w:family w:val="swiss"/>
    <w:pitch w:val="variable"/>
    <w:sig w:usb0="E0002AFF" w:usb1="C0007843" w:usb2="00000009" w:usb3="00000000" w:csb0="000001FF" w:csb1="00000000"/>
  </w:font>
  <w:font w:name="ShelleyAllegro BT">
    <w:altName w:val="Courier New"/>
    <w:charset w:val="00"/>
    <w:family w:val="script"/>
    <w:pitch w:val="variable"/>
    <w:sig w:usb0="00000001" w:usb1="00000000" w:usb2="00000000" w:usb3="00000000" w:csb0="0000001B"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7FBE" w:rsidRDefault="005B7FBE" w:rsidP="0059466E">
      <w:r>
        <w:separator/>
      </w:r>
    </w:p>
  </w:footnote>
  <w:footnote w:type="continuationSeparator" w:id="1">
    <w:p w:rsidR="005B7FBE" w:rsidRDefault="005B7FBE" w:rsidP="0059466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466E" w:rsidRDefault="0059466E" w:rsidP="0059466E">
    <w:pPr>
      <w:pStyle w:val="Ttulo1"/>
      <w:ind w:left="851" w:hanging="142"/>
      <w:rPr>
        <w:rFonts w:ascii="Arial" w:hAnsi="Arial" w:cs="Arial"/>
        <w:b w:val="0"/>
        <w:i/>
        <w:sz w:val="14"/>
      </w:rPr>
    </w:pPr>
    <w:r>
      <w:rPr>
        <w:rFonts w:ascii="EnglischeSchT" w:hAnsi="EnglischeSchT"/>
        <w:b w:val="0"/>
        <w:i/>
        <w:noProof/>
        <w:sz w:val="44"/>
        <w:lang w:val="es-AR" w:eastAsia="es-AR"/>
      </w:rPr>
      <w:drawing>
        <wp:anchor distT="0" distB="0" distL="114300" distR="114300" simplePos="0" relativeHeight="251660288" behindDoc="0" locked="0" layoutInCell="1" allowOverlap="1">
          <wp:simplePos x="0" y="0"/>
          <wp:positionH relativeFrom="column">
            <wp:posOffset>831215</wp:posOffset>
          </wp:positionH>
          <wp:positionV relativeFrom="paragraph">
            <wp:posOffset>69215</wp:posOffset>
          </wp:positionV>
          <wp:extent cx="467360" cy="731520"/>
          <wp:effectExtent l="19050" t="0" r="8890" b="0"/>
          <wp:wrapTopAndBottom/>
          <wp:docPr id="3" name="Imagen 1" descr="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CUDO"/>
                  <pic:cNvPicPr>
                    <a:picLocks noChangeAspect="1" noChangeArrowheads="1"/>
                  </pic:cNvPicPr>
                </pic:nvPicPr>
                <pic:blipFill>
                  <a:blip r:embed="rId1"/>
                  <a:srcRect/>
                  <a:stretch>
                    <a:fillRect/>
                  </a:stretch>
                </pic:blipFill>
                <pic:spPr bwMode="auto">
                  <a:xfrm>
                    <a:off x="0" y="0"/>
                    <a:ext cx="467360" cy="731520"/>
                  </a:xfrm>
                  <a:prstGeom prst="rect">
                    <a:avLst/>
                  </a:prstGeom>
                  <a:noFill/>
                  <a:ln w="9525">
                    <a:noFill/>
                    <a:miter lim="800000"/>
                    <a:headEnd/>
                    <a:tailEnd/>
                  </a:ln>
                </pic:spPr>
              </pic:pic>
            </a:graphicData>
          </a:graphic>
        </wp:anchor>
      </w:drawing>
    </w:r>
    <w:r>
      <w:rPr>
        <w:rFonts w:ascii="EnglischeSchT" w:hAnsi="EnglischeSchT"/>
        <w:b w:val="0"/>
        <w:i/>
        <w:sz w:val="44"/>
      </w:rPr>
      <w:tab/>
    </w:r>
    <w:r>
      <w:rPr>
        <w:rFonts w:ascii="EnglischeSchT" w:hAnsi="EnglischeSchT"/>
        <w:b w:val="0"/>
        <w:i/>
        <w:sz w:val="44"/>
      </w:rPr>
      <w:tab/>
    </w:r>
    <w:r>
      <w:rPr>
        <w:rFonts w:ascii="EnglischeSchT" w:hAnsi="EnglischeSchT"/>
        <w:b w:val="0"/>
        <w:i/>
        <w:sz w:val="44"/>
      </w:rPr>
      <w:tab/>
    </w:r>
    <w:r>
      <w:rPr>
        <w:rFonts w:ascii="Arial" w:hAnsi="Arial" w:cs="Arial"/>
        <w:b w:val="0"/>
        <w:i/>
        <w:sz w:val="14"/>
      </w:rPr>
      <w:t>“2016-AÑO DEL BICENTENARIO DE LA DECLARACIÓN DE LA INDEPENDENCIA NACIONAL”</w:t>
    </w:r>
  </w:p>
  <w:p w:rsidR="0059466E" w:rsidRDefault="0059466E" w:rsidP="0059466E">
    <w:pPr>
      <w:pStyle w:val="Ttulo1"/>
      <w:ind w:left="851" w:hanging="142"/>
      <w:rPr>
        <w:rFonts w:ascii="EnglischeSchT" w:hAnsi="EnglischeSchT"/>
        <w:b w:val="0"/>
        <w:i/>
        <w:sz w:val="44"/>
      </w:rPr>
    </w:pPr>
  </w:p>
  <w:p w:rsidR="0059466E" w:rsidRDefault="0059466E" w:rsidP="0059466E">
    <w:pPr>
      <w:pStyle w:val="Ttulo1"/>
      <w:rPr>
        <w:rFonts w:ascii="ShelleyAllegro BT" w:hAnsi="ShelleyAllegro BT"/>
        <w:b w:val="0"/>
        <w:noProof/>
        <w:szCs w:val="36"/>
        <w:lang w:val="es-AR" w:eastAsia="es-AR"/>
      </w:rPr>
    </w:pPr>
  </w:p>
  <w:p w:rsidR="0059466E" w:rsidRDefault="0059466E" w:rsidP="0059466E">
    <w:pPr>
      <w:pStyle w:val="Ttulo1"/>
      <w:rPr>
        <w:rFonts w:ascii="ShelleyAllegro BT" w:hAnsi="ShelleyAllegro BT"/>
        <w:b w:val="0"/>
        <w:noProof/>
        <w:szCs w:val="36"/>
        <w:lang w:val="es-AR" w:eastAsia="es-AR"/>
      </w:rPr>
    </w:pPr>
  </w:p>
  <w:p w:rsidR="0059466E" w:rsidRDefault="0059466E" w:rsidP="0059466E">
    <w:pPr>
      <w:pStyle w:val="Encabezado"/>
    </w:pPr>
    <w:r>
      <w:rPr>
        <w:rFonts w:ascii="ShelleyAllegro BT" w:hAnsi="ShelleyAllegro BT"/>
        <w:b/>
        <w:noProof/>
        <w:szCs w:val="36"/>
        <w:lang w:eastAsia="es-AR"/>
      </w:rPr>
      <w:drawing>
        <wp:inline distT="0" distB="0" distL="0" distR="0">
          <wp:extent cx="2324100" cy="23812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srcRect/>
                  <a:stretch>
                    <a:fillRect/>
                  </a:stretch>
                </pic:blipFill>
                <pic:spPr bwMode="auto">
                  <a:xfrm>
                    <a:off x="0" y="0"/>
                    <a:ext cx="2324100" cy="238125"/>
                  </a:xfrm>
                  <a:prstGeom prst="rect">
                    <a:avLst/>
                  </a:prstGeom>
                  <a:noFill/>
                  <a:ln w="9525">
                    <a:noFill/>
                    <a:miter lim="800000"/>
                    <a:headEnd/>
                    <a:tailEnd/>
                  </a:ln>
                </pic:spPr>
              </pic:pic>
            </a:graphicData>
          </a:graphic>
        </wp:inline>
      </w:drawing>
    </w:r>
  </w:p>
  <w:p w:rsidR="0059466E" w:rsidRDefault="0059466E">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3074"/>
  </w:hdrShapeDefaults>
  <w:footnotePr>
    <w:footnote w:id="0"/>
    <w:footnote w:id="1"/>
  </w:footnotePr>
  <w:endnotePr>
    <w:endnote w:id="0"/>
    <w:endnote w:id="1"/>
  </w:endnotePr>
  <w:compat/>
  <w:rsids>
    <w:rsidRoot w:val="0059466E"/>
    <w:rsid w:val="001052DF"/>
    <w:rsid w:val="00126A9D"/>
    <w:rsid w:val="001C2769"/>
    <w:rsid w:val="00287818"/>
    <w:rsid w:val="002A38AD"/>
    <w:rsid w:val="002A608F"/>
    <w:rsid w:val="003A311A"/>
    <w:rsid w:val="0059466E"/>
    <w:rsid w:val="005A1CE7"/>
    <w:rsid w:val="005B4943"/>
    <w:rsid w:val="005B7FBE"/>
    <w:rsid w:val="00880497"/>
    <w:rsid w:val="00C7478C"/>
    <w:rsid w:val="00D23D0B"/>
    <w:rsid w:val="00F36B9B"/>
    <w:rsid w:val="00FA39B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9466E"/>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qFormat/>
    <w:rsid w:val="0059466E"/>
    <w:pPr>
      <w:keepNext/>
      <w:outlineLvl w:val="0"/>
    </w:pPr>
    <w:rPr>
      <w:rFonts w:ascii="EnglischeSchTDemBol" w:hAnsi="EnglischeSchTDemBol"/>
      <w:b/>
      <w:sz w:val="36"/>
      <w:szCs w:val="20"/>
    </w:rPr>
  </w:style>
  <w:style w:type="paragraph" w:styleId="Ttulo8">
    <w:name w:val="heading 8"/>
    <w:basedOn w:val="Normal"/>
    <w:next w:val="Normal"/>
    <w:link w:val="Ttulo8Car"/>
    <w:uiPriority w:val="9"/>
    <w:semiHidden/>
    <w:unhideWhenUsed/>
    <w:qFormat/>
    <w:rsid w:val="001C2769"/>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9466E"/>
    <w:pPr>
      <w:tabs>
        <w:tab w:val="center" w:pos="4419"/>
        <w:tab w:val="right" w:pos="8838"/>
      </w:tabs>
    </w:pPr>
    <w:rPr>
      <w:rFonts w:asciiTheme="minorHAnsi" w:eastAsiaTheme="minorHAnsi" w:hAnsiTheme="minorHAnsi" w:cstheme="minorBidi"/>
      <w:sz w:val="22"/>
      <w:szCs w:val="22"/>
      <w:lang w:val="es-AR" w:eastAsia="en-US"/>
    </w:rPr>
  </w:style>
  <w:style w:type="character" w:customStyle="1" w:styleId="EncabezadoCar">
    <w:name w:val="Encabezado Car"/>
    <w:basedOn w:val="Fuentedeprrafopredeter"/>
    <w:link w:val="Encabezado"/>
    <w:uiPriority w:val="99"/>
    <w:rsid w:val="0059466E"/>
  </w:style>
  <w:style w:type="paragraph" w:styleId="Piedepgina">
    <w:name w:val="footer"/>
    <w:basedOn w:val="Normal"/>
    <w:link w:val="PiedepginaCar"/>
    <w:semiHidden/>
    <w:unhideWhenUsed/>
    <w:rsid w:val="0059466E"/>
    <w:pPr>
      <w:tabs>
        <w:tab w:val="center" w:pos="4419"/>
        <w:tab w:val="right" w:pos="8838"/>
      </w:tabs>
    </w:pPr>
    <w:rPr>
      <w:rFonts w:asciiTheme="minorHAnsi" w:eastAsiaTheme="minorHAnsi" w:hAnsiTheme="minorHAnsi" w:cstheme="minorBidi"/>
      <w:sz w:val="22"/>
      <w:szCs w:val="22"/>
      <w:lang w:val="es-AR" w:eastAsia="en-US"/>
    </w:rPr>
  </w:style>
  <w:style w:type="character" w:customStyle="1" w:styleId="PiedepginaCar">
    <w:name w:val="Pie de página Car"/>
    <w:basedOn w:val="Fuentedeprrafopredeter"/>
    <w:link w:val="Piedepgina"/>
    <w:semiHidden/>
    <w:rsid w:val="0059466E"/>
  </w:style>
  <w:style w:type="paragraph" w:styleId="Textodeglobo">
    <w:name w:val="Balloon Text"/>
    <w:basedOn w:val="Normal"/>
    <w:link w:val="TextodegloboCar"/>
    <w:uiPriority w:val="99"/>
    <w:semiHidden/>
    <w:unhideWhenUsed/>
    <w:rsid w:val="0059466E"/>
    <w:rPr>
      <w:rFonts w:ascii="Tahoma" w:eastAsiaTheme="minorHAnsi" w:hAnsi="Tahoma" w:cs="Tahoma"/>
      <w:sz w:val="16"/>
      <w:szCs w:val="16"/>
      <w:lang w:val="es-AR" w:eastAsia="en-US"/>
    </w:rPr>
  </w:style>
  <w:style w:type="character" w:customStyle="1" w:styleId="TextodegloboCar">
    <w:name w:val="Texto de globo Car"/>
    <w:basedOn w:val="Fuentedeprrafopredeter"/>
    <w:link w:val="Textodeglobo"/>
    <w:uiPriority w:val="99"/>
    <w:semiHidden/>
    <w:rsid w:val="0059466E"/>
    <w:rPr>
      <w:rFonts w:ascii="Tahoma" w:hAnsi="Tahoma" w:cs="Tahoma"/>
      <w:sz w:val="16"/>
      <w:szCs w:val="16"/>
    </w:rPr>
  </w:style>
  <w:style w:type="character" w:customStyle="1" w:styleId="Ttulo1Car">
    <w:name w:val="Título 1 Car"/>
    <w:basedOn w:val="Fuentedeprrafopredeter"/>
    <w:link w:val="Ttulo1"/>
    <w:rsid w:val="0059466E"/>
    <w:rPr>
      <w:rFonts w:ascii="EnglischeSchTDemBol" w:eastAsia="Times New Roman" w:hAnsi="EnglischeSchTDemBol" w:cs="Times New Roman"/>
      <w:b/>
      <w:sz w:val="36"/>
      <w:szCs w:val="20"/>
      <w:lang w:val="es-ES" w:eastAsia="es-ES"/>
    </w:rPr>
  </w:style>
  <w:style w:type="paragraph" w:styleId="Sangra2detindependiente">
    <w:name w:val="Body Text Indent 2"/>
    <w:basedOn w:val="Normal"/>
    <w:link w:val="Sangra2detindependienteCar"/>
    <w:semiHidden/>
    <w:rsid w:val="0059466E"/>
    <w:pPr>
      <w:spacing w:line="480" w:lineRule="auto"/>
      <w:ind w:left="1701"/>
      <w:jc w:val="both"/>
    </w:pPr>
    <w:rPr>
      <w:rFonts w:ascii="Courier New" w:hAnsi="Courier New"/>
      <w:sz w:val="23"/>
      <w:szCs w:val="20"/>
    </w:rPr>
  </w:style>
  <w:style w:type="character" w:customStyle="1" w:styleId="Sangra2detindependienteCar">
    <w:name w:val="Sangría 2 de t. independiente Car"/>
    <w:basedOn w:val="Fuentedeprrafopredeter"/>
    <w:link w:val="Sangra2detindependiente"/>
    <w:semiHidden/>
    <w:rsid w:val="0059466E"/>
    <w:rPr>
      <w:rFonts w:ascii="Courier New" w:eastAsia="Times New Roman" w:hAnsi="Courier New" w:cs="Times New Roman"/>
      <w:sz w:val="23"/>
      <w:szCs w:val="20"/>
      <w:lang w:val="es-ES" w:eastAsia="es-ES"/>
    </w:rPr>
  </w:style>
  <w:style w:type="paragraph" w:customStyle="1" w:styleId="Normal1">
    <w:name w:val="Normal1"/>
    <w:basedOn w:val="Normal"/>
    <w:rsid w:val="0059466E"/>
    <w:pPr>
      <w:widowControl w:val="0"/>
    </w:pPr>
    <w:rPr>
      <w:sz w:val="20"/>
      <w:szCs w:val="20"/>
      <w:lang w:eastAsia="es-AR"/>
    </w:rPr>
  </w:style>
  <w:style w:type="paragraph" w:styleId="NormalWeb">
    <w:name w:val="Normal (Web)"/>
    <w:basedOn w:val="Normal"/>
    <w:semiHidden/>
    <w:rsid w:val="0059466E"/>
    <w:pPr>
      <w:spacing w:before="100" w:beforeAutospacing="1" w:after="100" w:afterAutospacing="1"/>
    </w:pPr>
    <w:rPr>
      <w:rFonts w:ascii="Verdana" w:hAnsi="Verdana"/>
      <w:color w:val="000000"/>
      <w:sz w:val="18"/>
      <w:szCs w:val="18"/>
    </w:rPr>
  </w:style>
  <w:style w:type="paragraph" w:styleId="Textocomentario">
    <w:name w:val="annotation text"/>
    <w:basedOn w:val="Normal"/>
    <w:link w:val="TextocomentarioCar"/>
    <w:semiHidden/>
    <w:unhideWhenUsed/>
    <w:rsid w:val="005A1CE7"/>
    <w:rPr>
      <w:sz w:val="20"/>
      <w:szCs w:val="20"/>
    </w:rPr>
  </w:style>
  <w:style w:type="character" w:customStyle="1" w:styleId="TextocomentarioCar">
    <w:name w:val="Texto comentario Car"/>
    <w:basedOn w:val="Fuentedeprrafopredeter"/>
    <w:link w:val="Textocomentario"/>
    <w:semiHidden/>
    <w:rsid w:val="005A1CE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semiHidden/>
    <w:unhideWhenUsed/>
    <w:rsid w:val="005A1CE7"/>
    <w:rPr>
      <w:b/>
      <w:bCs/>
    </w:rPr>
  </w:style>
  <w:style w:type="character" w:customStyle="1" w:styleId="AsuntodelcomentarioCar">
    <w:name w:val="Asunto del comentario Car"/>
    <w:basedOn w:val="TextocomentarioCar"/>
    <w:link w:val="Asuntodelcomentario"/>
    <w:semiHidden/>
    <w:rsid w:val="005A1CE7"/>
    <w:rPr>
      <w:b/>
      <w:bCs/>
    </w:rPr>
  </w:style>
  <w:style w:type="character" w:customStyle="1" w:styleId="Ttulo8Car">
    <w:name w:val="Título 8 Car"/>
    <w:basedOn w:val="Fuentedeprrafopredeter"/>
    <w:link w:val="Ttulo8"/>
    <w:uiPriority w:val="9"/>
    <w:semiHidden/>
    <w:rsid w:val="001C2769"/>
    <w:rPr>
      <w:rFonts w:asciiTheme="majorHAnsi" w:eastAsiaTheme="majorEastAsia" w:hAnsiTheme="majorHAnsi" w:cstheme="majorBidi"/>
      <w:color w:val="404040" w:themeColor="text1" w:themeTint="BF"/>
      <w:sz w:val="20"/>
      <w:szCs w:val="20"/>
      <w:lang w:val="es-ES"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D3B016-9166-493A-A705-A2CE46064F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292</Words>
  <Characters>1606</Characters>
  <Application>Microsoft Office Word</Application>
  <DocSecurity>0</DocSecurity>
  <Lines>13</Lines>
  <Paragraphs>3</Paragraphs>
  <ScaleCrop>false</ScaleCrop>
  <Company/>
  <LinksUpToDate>false</LinksUpToDate>
  <CharactersWithSpaces>1895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jcggale</dc:creator>
  <cp:lastModifiedBy>jcggale</cp:lastModifiedBy>
  <cp:revision>2</cp:revision>
  <dcterms:created xsi:type="dcterms:W3CDTF">2017-09-20T11:28:00Z</dcterms:created>
  <dcterms:modified xsi:type="dcterms:W3CDTF">2017-09-20T11:28:00Z</dcterms:modified>
</cp:coreProperties>
</file>